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cs="Arial"/>
          <w:b/>
          <w:bCs/>
          <w:smallCaps/>
          <w:color w:val="000000"/>
          <w:sz w:val="20"/>
          <w:szCs w:val="20"/>
        </w:rPr>
      </w:pPr>
      <w:r>
        <w:rPr>
          <w:rFonts w:cs="Arial" w:ascii="Verdana" w:hAnsi="Verdana"/>
          <w:b/>
          <w:bCs/>
          <w:smallCaps/>
          <w:color w:val="000000"/>
          <w:sz w:val="20"/>
          <w:szCs w:val="20"/>
        </w:rPr>
      </w:r>
    </w:p>
    <w:p>
      <w:pPr>
        <w:pStyle w:val="Normal"/>
        <w:spacing w:lineRule="auto" w:line="240"/>
        <w:jc w:val="center"/>
        <w:rPr>
          <w:rFonts w:ascii="Verdana" w:hAnsi="Verdana"/>
          <w:sz w:val="20"/>
          <w:szCs w:val="20"/>
        </w:rPr>
      </w:pPr>
      <w:r>
        <w:rPr>
          <w:rFonts w:cs="Arial" w:ascii="Verdana" w:hAnsi="Verdana"/>
          <w:b/>
          <w:bCs/>
          <w:smallCaps/>
          <w:color w:val="000000"/>
          <w:sz w:val="20"/>
          <w:szCs w:val="20"/>
        </w:rPr>
        <w:t xml:space="preserve">EDITAL </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PREGÃO ELETRÔNICO Nº 036/2025</w:t>
      </w:r>
    </w:p>
    <w:p>
      <w:pPr>
        <w:pStyle w:val="Normal"/>
        <w:spacing w:lineRule="auto" w:line="240"/>
        <w:jc w:val="center"/>
        <w:rPr>
          <w:rFonts w:ascii="Verdana" w:hAnsi="Verdana"/>
          <w:sz w:val="20"/>
          <w:szCs w:val="20"/>
        </w:rPr>
      </w:pPr>
      <w:r>
        <w:rPr>
          <w:rFonts w:cs="Arial" w:ascii="Verdana" w:hAnsi="Verdana"/>
          <w:b/>
          <w:bCs/>
          <w:smallCaps/>
          <w:color w:val="000000"/>
          <w:sz w:val="20"/>
          <w:szCs w:val="20"/>
        </w:rPr>
        <w:t>(Processo Administrativo n° 3165/2025 de 30/04/2025)</w:t>
      </w:r>
    </w:p>
    <w:p>
      <w:pPr>
        <w:pStyle w:val="Normal"/>
        <w:spacing w:lineRule="auto" w:line="240" w:before="57" w:after="57"/>
        <w:jc w:val="center"/>
        <w:rPr>
          <w:rFonts w:ascii="Verdana" w:hAnsi="Verdana"/>
          <w:sz w:val="20"/>
          <w:szCs w:val="20"/>
        </w:rPr>
      </w:pPr>
      <w:r>
        <w:rPr>
          <w:rFonts w:cs="Arial" w:ascii="Verdana" w:hAnsi="Verdana"/>
          <w:b/>
          <w:bCs/>
          <w:smallCaps/>
          <w:color w:val="000000"/>
          <w:sz w:val="20"/>
          <w:szCs w:val="20"/>
        </w:rPr>
        <w:t>EXCLUSIVA ME/EPP</w:t>
      </w:r>
    </w:p>
    <w:p>
      <w:pPr>
        <w:pStyle w:val="Normal"/>
        <w:spacing w:lineRule="auto" w:line="240"/>
        <w:jc w:val="center"/>
        <w:rPr>
          <w:rFonts w:ascii="Verdana" w:hAnsi="Verdana"/>
          <w:sz w:val="20"/>
          <w:szCs w:val="20"/>
        </w:rPr>
      </w:pPr>
      <w:r>
        <w:rPr>
          <w:rFonts w:ascii="Verdana" w:hAnsi="Verdana"/>
          <w:sz w:val="20"/>
          <w:szCs w:val="20"/>
        </w:rPr>
      </w:r>
    </w:p>
    <w:p>
      <w:pPr>
        <w:pStyle w:val="BodyText"/>
        <w:spacing w:lineRule="auto" w:line="24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13/08</w:t>
      </w:r>
      <w:r>
        <w:rPr>
          <w:rFonts w:cs="Arial" w:ascii="Verdana" w:hAnsi="Verdana"/>
          <w:b/>
          <w:bCs/>
          <w:color w:val="000000"/>
          <w:sz w:val="20"/>
          <w:szCs w:val="20"/>
        </w:rPr>
        <w:t>/2025.</w:t>
      </w:r>
    </w:p>
    <w:p>
      <w:pPr>
        <w:pStyle w:val="Normal"/>
        <w:spacing w:lineRule="auto" w:line="240"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40"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40"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hanging="0" w:left="0"/>
        <w:contextualSpacing w:val="false"/>
        <w:jc w:val="both"/>
        <w:rPr/>
      </w:pPr>
      <w:r>
        <w:rPr>
          <w:rFonts w:cs="Arial" w:ascii="Verdana" w:hAnsi="Verdana"/>
          <w:color w:val="000000"/>
          <w:sz w:val="20"/>
          <w:szCs w:val="20"/>
        </w:rPr>
        <w:t xml:space="preserve">1.1 O objeto da presente licitação é </w:t>
      </w:r>
      <w:bookmarkStart w:id="1" w:name="_Hlk162947020_Copia_1"/>
      <w:r>
        <w:rPr>
          <w:rStyle w:val="Fontepargpadro"/>
          <w:rFonts w:cs="Arial" w:ascii="Verdana" w:hAnsi="Verdana"/>
          <w:b w:val="false"/>
          <w:bCs w:val="false"/>
          <w:color w:val="000000"/>
          <w:sz w:val="20"/>
          <w:szCs w:val="20"/>
        </w:rPr>
        <w:t>a</w:t>
      </w:r>
      <w:bookmarkEnd w:id="1"/>
      <w:r>
        <w:rPr>
          <w:rStyle w:val="Fontepargpadro"/>
          <w:rFonts w:eastAsia="Batang;바탕" w:cs="Arial" w:ascii="Verdana" w:hAnsi="Verdana"/>
          <w:b w:val="false"/>
          <w:bCs w:val="false"/>
          <w:i w:val="false"/>
          <w:iCs w:val="false"/>
          <w:color w:val="000000"/>
          <w:sz w:val="20"/>
          <w:szCs w:val="20"/>
        </w:rPr>
        <w:t>quisição/instalação de toldos para uso no CRAS, Sede da Secretaria Municipal de Assistência Social e Cadastro Único</w:t>
      </w:r>
      <w:r>
        <w:rPr>
          <w:rStyle w:val="Fontepargpadro"/>
          <w:rFonts w:cs="Arial" w:ascii="Verdana" w:hAnsi="Verdana"/>
          <w:b w:val="false"/>
          <w:bCs w:val="false"/>
          <w:i w:val="false"/>
          <w:iCs w:val="false"/>
          <w:color w:val="000000"/>
          <w:sz w:val="20"/>
          <w:szCs w:val="20"/>
        </w:rPr>
        <w:t xml:space="preserve">, </w:t>
      </w:r>
      <w:r>
        <w:rPr>
          <w:rStyle w:val="Fontepargpadro"/>
          <w:rFonts w:eastAsia="Batang;바탕" w:cs="Arial" w:ascii="Verdana" w:hAnsi="Verdana"/>
          <w:b w:val="false"/>
          <w:bCs w:val="false"/>
          <w:i w:val="false"/>
          <w:iCs w:val="false"/>
          <w:color w:val="000000"/>
          <w:kern w:val="2"/>
          <w:sz w:val="20"/>
          <w:szCs w:val="20"/>
          <w:lang w:eastAsia="en-US" w:bidi="pt-BR"/>
        </w:rPr>
        <w:t>conforme c</w:t>
      </w:r>
      <w:r>
        <w:rPr>
          <w:rStyle w:val="Fontepargpadro"/>
          <w:rFonts w:cs="Arial" w:ascii="Verdana" w:hAnsi="Verdana"/>
          <w:b w:val="false"/>
          <w:bCs w:val="false"/>
          <w:i w:val="false"/>
          <w:iCs w:val="false"/>
          <w:color w:val="000000"/>
          <w:sz w:val="20"/>
          <w:szCs w:val="20"/>
        </w:rPr>
        <w:t>ondições, quantidades e exigências estabelecidas neste Edital e seus anexos</w:t>
      </w:r>
      <w:bookmarkStart w:id="2" w:name="_Hlk162947020"/>
      <w:bookmarkEnd w:id="2"/>
      <w:r>
        <w:rPr>
          <w:rFonts w:eastAsia="Batang;바탕" w:cs="Arial" w:ascii="Verdana" w:hAnsi="Verdana"/>
          <w:iCs/>
          <w:sz w:val="20"/>
          <w:szCs w:val="20"/>
        </w:rPr>
        <w:t>, r</w:t>
      </w:r>
      <w:r>
        <w:rPr>
          <w:rFonts w:eastAsia="Times New Roman" w:cs="Times New Roman" w:ascii="Verdana" w:hAnsi="Verdana"/>
          <w:iCs/>
          <w:color w:val="000000"/>
          <w:sz w:val="20"/>
          <w:szCs w:val="20"/>
        </w:rPr>
        <w:t>elacionados e especificados constantes neste TR e ETP</w:t>
      </w:r>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40"/>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jc w:val="both"/>
        <w:rPr>
          <w:rFonts w:ascii="Verdana" w:hAnsi="Verdana"/>
          <w:sz w:val="20"/>
          <w:szCs w:val="20"/>
        </w:rPr>
      </w:pPr>
      <w:r>
        <w:rPr>
          <w:rFonts w:ascii="Verdana" w:hAnsi="Verdana"/>
          <w:sz w:val="20"/>
          <w:szCs w:val="20"/>
        </w:rPr>
      </w:r>
    </w:p>
    <w:p>
      <w:pPr>
        <w:pStyle w:val="Nivel1"/>
        <w:numPr>
          <w:ilvl w:val="0"/>
          <w:numId w:val="2"/>
        </w:numPr>
        <w:spacing w:lineRule="auto" w:line="240" w:before="0" w:after="0"/>
        <w:ind w:hanging="0" w:left="0"/>
        <w:rPr>
          <w:rFonts w:ascii="Verdana" w:hAnsi="Verdana"/>
          <w:sz w:val="20"/>
          <w:szCs w:val="20"/>
        </w:rPr>
      </w:pPr>
      <w:r>
        <w:rPr>
          <w:rFonts w:cs="Times New Roman" w:ascii="Verdana" w:hAnsi="Verdana"/>
          <w:bCs/>
          <w:sz w:val="20"/>
          <w:szCs w:val="20"/>
        </w:rPr>
        <w:t xml:space="preserve">FUNDAMENTAÇÃO E DESCRIÇÃO DA NECESSIDADE DA CONTRATAÇÃO </w:t>
      </w:r>
    </w:p>
    <w:p>
      <w:pPr>
        <w:pStyle w:val="ListParagraph"/>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cs="Arial" w:ascii="Verdana" w:hAnsi="Verdana"/>
          <w:color w:val="000000"/>
          <w:sz w:val="20"/>
          <w:szCs w:val="20"/>
        </w:rPr>
        <w:t xml:space="preserve">2.1. </w:t>
      </w:r>
      <w:r>
        <w:rPr>
          <w:rFonts w:eastAsia="Calibri" w:cs="Arial" w:ascii="Verdana" w:hAnsi="Verdana"/>
          <w:b w:val="false"/>
          <w:bCs w:val="false"/>
          <w:color w:val="000000"/>
          <w:kern w:val="0"/>
          <w:sz w:val="20"/>
          <w:szCs w:val="20"/>
          <w:shd w:fill="auto" w:val="clear"/>
          <w:lang w:val="pt-BR" w:eastAsia="en-US" w:bidi="ar-SA"/>
        </w:rPr>
        <w:t>A aquisição/instalação dos produtos tem por objetivo atender a demanda do Cadastro Único, formalizada por meio do memorando nº 021/2024, do CRAS formalizada por meio do memorando nº 027/2025 e visando minimizar os danos causados por chuvas e incidência de sol.</w:t>
      </w:r>
    </w:p>
    <w:p>
      <w:pPr>
        <w:pStyle w:val="PargrafodaLista"/>
        <w:widowControl w:val="false"/>
        <w:tabs>
          <w:tab w:val="clear" w:pos="708"/>
          <w:tab w:val="left" w:pos="-2410" w:leader="none"/>
          <w:tab w:val="left" w:pos="567" w:leader="none"/>
        </w:tabs>
        <w:spacing w:lineRule="auto" w:line="240" w:before="0" w:after="0"/>
        <w:ind w:hanging="0" w:left="0" w:right="0"/>
        <w:contextualSpacing/>
        <w:jc w:val="both"/>
        <w:rPr>
          <w:rFonts w:ascii="Verdana" w:hAnsi="Verdana"/>
          <w:sz w:val="20"/>
          <w:szCs w:val="20"/>
        </w:rPr>
      </w:pPr>
      <w:r>
        <w:rPr>
          <w:rFonts w:eastAsia="Calibri" w:cs="Arial" w:ascii="Verdana" w:hAnsi="Verdana"/>
          <w:b w:val="false"/>
          <w:bCs w:val="false"/>
          <w:color w:val="000000"/>
          <w:kern w:val="0"/>
          <w:sz w:val="20"/>
          <w:szCs w:val="20"/>
          <w:shd w:fill="auto" w:val="clear"/>
          <w:lang w:val="pt-BR" w:eastAsia="en-US" w:bidi="ar-SA"/>
        </w:rPr>
        <w:t xml:space="preserve">2.2. </w:t>
      </w:r>
      <w:r>
        <w:rPr>
          <w:rFonts w:eastAsia="Calibri" w:cs="Arial" w:ascii="Verdana" w:hAnsi="Verdana"/>
          <w:b w:val="false"/>
          <w:bCs w:val="false"/>
          <w:color w:val="000000"/>
          <w:kern w:val="0"/>
          <w:sz w:val="20"/>
          <w:szCs w:val="20"/>
          <w:shd w:fill="auto" w:val="clear"/>
          <w:lang w:val="pt-BR" w:eastAsia="zh-CN" w:bidi="ar-SA"/>
        </w:rPr>
        <w:t xml:space="preserve">A Secretaria sofre constantemente, em situações de sol e chuva </w:t>
      </w:r>
      <w:r>
        <w:rPr>
          <w:rFonts w:eastAsia="Times New Roman" w:cs="Arial" w:ascii="Verdana" w:hAnsi="Verdana"/>
          <w:b w:val="false"/>
          <w:bCs w:val="false"/>
          <w:color w:val="000000"/>
          <w:kern w:val="0"/>
          <w:sz w:val="20"/>
          <w:szCs w:val="20"/>
          <w:shd w:fill="auto" w:val="clear"/>
          <w:lang w:val="pt-BR" w:eastAsia="zh-CN" w:bidi="ar-SA"/>
        </w:rPr>
        <w:t>que adentra às portas e janelas, causando transtornos aos servidores e usuários do local e ocasionando risco de queda no piso molhado.</w:t>
      </w:r>
    </w:p>
    <w:p>
      <w:pPr>
        <w:pStyle w:val="ListParagraph"/>
        <w:widowControl w:val="false"/>
        <w:tabs>
          <w:tab w:val="clear" w:pos="708"/>
          <w:tab w:val="left" w:pos="-2410" w:leader="none"/>
          <w:tab w:val="left" w:pos="567" w:leader="none"/>
        </w:tabs>
        <w:spacing w:lineRule="auto" w:line="240" w:before="0" w:after="0"/>
        <w:ind w:hanging="0" w:left="0"/>
        <w:contextualSpacing/>
        <w:jc w:val="both"/>
        <w:rPr>
          <w:rFonts w:ascii="Verdana" w:hAnsi="Verdana"/>
          <w:sz w:val="20"/>
          <w:szCs w:val="20"/>
        </w:rPr>
      </w:pPr>
      <w:r>
        <w:rPr>
          <w:rFonts w:eastAsia="Times New Roman" w:cs="Arial" w:ascii="Verdana" w:hAnsi="Verdana"/>
          <w:b w:val="false"/>
          <w:bCs w:val="false"/>
          <w:color w:val="000000"/>
          <w:kern w:val="0"/>
          <w:sz w:val="20"/>
          <w:szCs w:val="20"/>
          <w:shd w:fill="auto" w:val="clear"/>
          <w:lang w:val="pt-BR" w:eastAsia="zh-CN" w:bidi="ar-SA"/>
        </w:rPr>
        <w:t>2.3. No ano de 2024 foi dada abertura em processo administrativo para aquisição dos mesmos itens, contudo após 02 tentativas de realização de pregão, a licitação foi tida como fracassada.</w:t>
      </w:r>
    </w:p>
    <w:p>
      <w:pPr>
        <w:pStyle w:val="ListParagraph"/>
        <w:spacing w:lineRule="auto" w:line="240" w:before="0" w:after="0"/>
        <w:ind w:hanging="0" w:left="0"/>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ind w:hanging="0"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ind w:hanging="0"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ind w:hanging="0"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ind w:hanging="0"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40"/>
        <w:ind w:hanging="0" w:right="113"/>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ind w:hanging="0" w:right="113"/>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ind w:hanging="0" w:right="113"/>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PARTICIPAÇÃO NO PREGÃO.</w:t>
      </w:r>
    </w:p>
    <w:p>
      <w:pPr>
        <w:pStyle w:val="Normal"/>
        <w:spacing w:lineRule="auto" w:line="240"/>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40" w:before="57" w:after="57"/>
        <w:jc w:val="both"/>
        <w:rPr>
          <w:rFonts w:ascii="Verdana" w:hAnsi="Verdana"/>
          <w:sz w:val="20"/>
          <w:szCs w:val="20"/>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57" w:after="57"/>
        <w:jc w:val="both"/>
        <w:rPr/>
      </w:pPr>
      <w:r>
        <w:rPr>
          <w:rFonts w:cs="Arial" w:ascii="Verdana" w:hAnsi="Verdana"/>
          <w:iCs/>
          <w:color w:val="000000"/>
          <w:sz w:val="20"/>
          <w:szCs w:val="20"/>
        </w:rPr>
        <w:t xml:space="preserve">4.2.1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40" w:before="57" w:after="57"/>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57" w:after="57"/>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57" w:after="57"/>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57" w:after="57"/>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0" w:after="0"/>
        <w:ind w:hanging="0" w:left="0"/>
        <w:rPr>
          <w:rFonts w:ascii="Verdana" w:hAnsi="Verdana"/>
          <w:sz w:val="20"/>
          <w:szCs w:val="20"/>
        </w:rPr>
      </w:pPr>
      <w:bookmarkStart w:id="8" w:name="art14§2"/>
      <w:bookmarkEnd w:id="8"/>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0" w:after="0"/>
        <w:ind w:hanging="0" w:left="0"/>
        <w:rPr>
          <w:rFonts w:ascii="Verdana" w:hAnsi="Verdana"/>
          <w:sz w:val="20"/>
          <w:szCs w:val="20"/>
        </w:rPr>
      </w:pPr>
      <w:bookmarkStart w:id="9" w:name="art14§3"/>
      <w:bookmarkEnd w:id="9"/>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0" w:after="0"/>
        <w:ind w:hanging="0" w:left="0"/>
        <w:rPr>
          <w:rFonts w:ascii="Verdana" w:hAnsi="Verdana"/>
          <w:sz w:val="20"/>
          <w:szCs w:val="20"/>
        </w:rPr>
      </w:pPr>
      <w:bookmarkStart w:id="10" w:name="art14§4"/>
      <w:bookmarkEnd w:id="10"/>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0" w:after="0"/>
        <w:ind w:hanging="0" w:left="0"/>
        <w:rPr/>
      </w:pPr>
      <w:bookmarkStart w:id="11" w:name="art14§5"/>
      <w:bookmarkEnd w:id="11"/>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40"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40"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ind w:hanging="0" w:left="0" w:right="113"/>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ind w:hanging="1638" w:left="1638" w:right="113"/>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ind w:hanging="0" w:right="113"/>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ind w:hanging="0" w:left="0" w:right="113"/>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0" w:after="0"/>
        <w:ind w:hanging="6" w:left="0" w:right="113"/>
        <w:contextualSpacing/>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113" w:after="0"/>
        <w:ind w:hanging="6" w:left="0" w:right="113"/>
        <w:contextualSpacing/>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0" w:after="0"/>
        <w:ind w:hanging="0" w:lef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113" w:after="113"/>
        <w:ind w:hanging="6" w:left="0" w:right="113"/>
        <w:contextualSpacing/>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113" w:after="113"/>
        <w:ind w:hanging="0" w:left="0" w:right="113"/>
        <w:contextualSpacing/>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0" w:after="0"/>
        <w:ind w:hanging="0" w:left="0" w:right="113"/>
        <w:contextualSpacing/>
        <w:jc w:val="both"/>
        <w:rPr>
          <w:rFonts w:ascii="Verdana" w:hAnsi="Verdana"/>
          <w:sz w:val="20"/>
          <w:szCs w:val="20"/>
        </w:rPr>
      </w:pPr>
      <w:r>
        <w:rPr>
          <w:rFonts w:ascii="Verdana" w:hAnsi="Verdana"/>
          <w:sz w:val="20"/>
          <w:szCs w:val="20"/>
        </w:rPr>
      </w:r>
    </w:p>
    <w:p>
      <w:pPr>
        <w:pStyle w:val="Nivel01"/>
        <w:numPr>
          <w:ilvl w:val="0"/>
          <w:numId w:val="2"/>
        </w:numPr>
        <w:spacing w:lineRule="auto" w:line="240" w:before="57" w:after="57"/>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40"/>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40"/>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40"/>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40"/>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40"/>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lineRule="auto" w:line="240"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40"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40"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40"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40"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57" w:after="57"/>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ind w:hanging="0" w:lef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0" w:after="0"/>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0" w:after="0"/>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57" w:after="57"/>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40"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57" w:after="57"/>
        <w:ind w:hanging="0" w:left="0"/>
        <w:contextualSpacing/>
        <w:jc w:val="both"/>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850" w:leader="none"/>
        </w:tabs>
        <w:snapToGrid w:val="false"/>
        <w:spacing w:lineRule="auto" w:line="240" w:before="113" w:after="113"/>
        <w:jc w:val="both"/>
        <w:rPr>
          <w:rFonts w:ascii="Verdana" w:hAnsi="Verdana"/>
          <w:sz w:val="20"/>
          <w:szCs w:val="20"/>
        </w:rPr>
      </w:pPr>
      <w:r>
        <w:rPr>
          <w:rFonts w:cs="Arial" w:ascii="Verdana" w:hAnsi="Verdana"/>
          <w:color w:val="000000"/>
          <w:sz w:val="20"/>
          <w:szCs w:val="20"/>
        </w:rPr>
        <w:t xml:space="preserve">a) Comprovação de aptidão para desempenho de atividade pertinente e compatível com o objeto desta </w:t>
      </w:r>
      <w:r>
        <w:rPr>
          <w:rFonts w:eastAsia="Times New Roman" w:cs="Times New Roman" w:ascii="Verdana" w:hAnsi="Verdana"/>
          <w:color w:val="000000"/>
          <w:sz w:val="20"/>
          <w:szCs w:val="20"/>
          <w:lang w:eastAsia="zh-CN"/>
        </w:rPr>
        <w:t>aquisição</w:t>
      </w:r>
      <w:r>
        <w:rPr>
          <w:rFonts w:cs="Arial" w:ascii="Verdana" w:hAnsi="Verdana"/>
          <w:color w:val="000000"/>
          <w:sz w:val="20"/>
          <w:szCs w:val="20"/>
        </w:rPr>
        <w:t>.</w:t>
      </w:r>
    </w:p>
    <w:p>
      <w:pPr>
        <w:pStyle w:val="Normal"/>
        <w:tabs>
          <w:tab w:val="clear" w:pos="708"/>
          <w:tab w:val="left" w:pos="426" w:leader="none"/>
        </w:tabs>
        <w:snapToGrid w:val="false"/>
        <w:spacing w:lineRule="auto" w:line="240" w:before="57" w:after="57"/>
        <w:jc w:val="both"/>
        <w:rPr>
          <w:rFonts w:ascii="Verdana" w:hAnsi="Verdana"/>
          <w:sz w:val="20"/>
          <w:szCs w:val="20"/>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57" w:after="57"/>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57" w:after="57"/>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0" w:after="0"/>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0" w:after="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ormal"/>
        <w:numPr>
          <w:ilvl w:val="0"/>
          <w:numId w:val="2"/>
        </w:numPr>
        <w:spacing w:lineRule="auto" w:line="240"/>
        <w:ind w:hanging="0" w:left="0"/>
        <w:rPr>
          <w:rFonts w:ascii="Verdana" w:hAnsi="Verdana"/>
          <w:b/>
          <w:bCs/>
          <w:sz w:val="20"/>
          <w:szCs w:val="20"/>
        </w:rPr>
      </w:pPr>
      <w:r>
        <w:rPr>
          <w:rFonts w:cs="Times New Roman" w:ascii="Verdana" w:hAnsi="Verdana"/>
          <w:b/>
          <w:bCs/>
          <w:sz w:val="20"/>
          <w:szCs w:val="20"/>
        </w:rPr>
        <w:t xml:space="preserve">MODELO DE EXECUÇÃO CONTRATUAL </w:t>
      </w:r>
    </w:p>
    <w:p>
      <w:pPr>
        <w:pStyle w:val="ListParagraph"/>
        <w:tabs>
          <w:tab w:val="clear" w:pos="708"/>
          <w:tab w:val="left" w:pos="0" w:leader="none"/>
          <w:tab w:val="left" w:pos="450" w:leader="none"/>
        </w:tabs>
        <w:spacing w:lineRule="auto" w:line="240"/>
        <w:ind w:hanging="0" w:left="-57"/>
        <w:jc w:val="both"/>
        <w:rPr>
          <w:rFonts w:ascii="Verdana" w:hAnsi="Verdana"/>
          <w:sz w:val="20"/>
          <w:szCs w:val="20"/>
        </w:rPr>
      </w:pPr>
      <w:r>
        <w:rPr>
          <w:rFonts w:cs="Times New Roman" w:ascii="Verdana" w:hAnsi="Verdana"/>
          <w:iCs/>
          <w:sz w:val="20"/>
          <w:szCs w:val="20"/>
        </w:rPr>
        <w:t>14.1.</w:t>
      </w:r>
      <w:r>
        <w:rPr>
          <w:rFonts w:cs="Times New Roman" w:ascii="Verdana" w:hAnsi="Verdana"/>
          <w:bCs/>
          <w:iCs/>
          <w:sz w:val="20"/>
          <w:szCs w:val="20"/>
        </w:rPr>
        <w:t xml:space="preserve"> </w:t>
      </w:r>
      <w:r>
        <w:rPr>
          <w:rFonts w:cs="Times New Roman" w:ascii="Verdana" w:hAnsi="Verdana"/>
          <w:b w:val="false"/>
          <w:bCs w:val="false"/>
          <w:iCs/>
          <w:sz w:val="20"/>
          <w:szCs w:val="20"/>
          <w:u w:val="none"/>
        </w:rPr>
        <w:t>A</w:t>
      </w:r>
      <w:r>
        <w:rPr>
          <w:rFonts w:eastAsia="Times New Roman" w:cs="Times New Roman" w:ascii="Verdana" w:hAnsi="Verdana"/>
          <w:b w:val="false"/>
          <w:bCs w:val="false"/>
          <w:iCs/>
          <w:sz w:val="20"/>
          <w:szCs w:val="20"/>
          <w:u w:val="none"/>
        </w:rPr>
        <w:t xml:space="preserve"> </w:t>
      </w:r>
      <w:r>
        <w:rPr>
          <w:rFonts w:eastAsia="Arial" w:cs="Arial" w:ascii="Verdana" w:hAnsi="Verdana"/>
          <w:b w:val="false"/>
          <w:bCs w:val="false"/>
          <w:iCs/>
          <w:color w:val="auto"/>
          <w:kern w:val="0"/>
          <w:sz w:val="20"/>
          <w:szCs w:val="20"/>
          <w:u w:val="none"/>
          <w:lang w:val="pt-BR" w:eastAsia="pt-BR" w:bidi="ar-SA"/>
        </w:rPr>
        <w:t>entrega/instalação será em até 15 (quinze) dias após a confirmação de recebimento da autorização de fornecimento emitida pelo Departamento de Compras e Contratos.</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14.2. LOCAL </w:t>
      </w:r>
      <w:r>
        <w:rPr>
          <w:rFonts w:eastAsia="Times New Roman" w:cs="Arial" w:ascii="Verdana" w:hAnsi="Verdana"/>
          <w:b w:val="false"/>
          <w:bCs w:val="false"/>
          <w:color w:val="auto"/>
          <w:kern w:val="0"/>
          <w:sz w:val="20"/>
          <w:szCs w:val="20"/>
          <w:lang w:val="pt-BR" w:eastAsia="zh-CN" w:bidi="ar-SA"/>
        </w:rPr>
        <w:t>DA ENTREGA</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14.2.1. Secretaria de Assistência Social</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Rua 14 de maio, nº 54 – Bairro Glória</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14.2.2. Gerência do Cadastro Único</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Av Maria Celeste Torezani Storch, s/n – Bairro são Vicente</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14.2.3. Centro de Referência de Assistência Social – CRAS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Rua Daniel Comboni, nº 787 – Vila Comboni</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São Gabriel da Palha/ES</w:t>
      </w:r>
    </w:p>
    <w:p>
      <w:pPr>
        <w:pStyle w:val="Normal"/>
        <w:spacing w:lineRule="auto" w:line="240" w:before="0" w:after="0"/>
        <w:jc w:val="both"/>
        <w:rPr>
          <w:rFonts w:ascii="Verdana" w:hAnsi="Verdana"/>
          <w:sz w:val="20"/>
          <w:szCs w:val="20"/>
        </w:rPr>
      </w:pPr>
      <w:r>
        <w:rPr>
          <w:rFonts w:eastAsia="NSimSun" w:cs="Arial" w:ascii="Verdana" w:hAnsi="Verdana"/>
          <w:b w:val="false"/>
          <w:bCs w:val="false"/>
          <w:color w:val="auto"/>
          <w:kern w:val="0"/>
          <w:sz w:val="20"/>
          <w:szCs w:val="20"/>
          <w:lang w:val="pt-BR" w:eastAsia="zh-CN" w:bidi="hi-IN"/>
        </w:rPr>
        <w:t>CEP: 29.780-000</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14.3. CONTATO</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Tel: 27 </w:t>
      </w:r>
      <w:r>
        <w:rPr>
          <w:rFonts w:eastAsia="Times New Roman" w:cs="Arial" w:ascii="Verdana" w:hAnsi="Verdana"/>
          <w:b w:val="false"/>
          <w:bCs w:val="false"/>
          <w:color w:val="auto"/>
          <w:kern w:val="0"/>
          <w:sz w:val="20"/>
          <w:szCs w:val="20"/>
          <w:lang w:val="pt-BR" w:eastAsia="zh-CN" w:bidi="ar-SA"/>
        </w:rPr>
        <w:t>99975-6571</w:t>
      </w:r>
    </w:p>
    <w:p>
      <w:pPr>
        <w:pStyle w:val="Normal"/>
        <w:spacing w:lineRule="auto" w:line="240" w:before="0" w:after="0"/>
        <w:jc w:val="both"/>
        <w:rPr/>
      </w:pPr>
      <w:r>
        <w:rPr>
          <w:rFonts w:cs="Arial" w:ascii="Verdana" w:hAnsi="Verdana"/>
          <w:b w:val="false"/>
          <w:bCs w:val="false"/>
          <w:sz w:val="20"/>
          <w:szCs w:val="20"/>
        </w:rPr>
        <w:t xml:space="preserve">Email: </w:t>
      </w:r>
      <w:hyperlink r:id="rId9">
        <w:r>
          <w:rPr>
            <w:rStyle w:val="Hyperlink"/>
            <w:rFonts w:eastAsia="Times New Roman" w:cs="Arial" w:ascii="Verdana" w:hAnsi="Verdana"/>
            <w:b w:val="false"/>
            <w:bCs w:val="false"/>
            <w:color w:val="auto"/>
            <w:kern w:val="0"/>
            <w:sz w:val="20"/>
            <w:szCs w:val="20"/>
            <w:lang w:val="pt-BR" w:eastAsia="zh-CN" w:bidi="ar-SA"/>
          </w:rPr>
          <w:t>assistenciasgp@gmail.com</w:t>
        </w:r>
      </w:hyperlink>
      <w:r>
        <w:rPr>
          <w:rFonts w:eastAsia="Times New Roman" w:cs="Arial" w:ascii="Verdana" w:hAnsi="Verdana"/>
          <w:b w:val="false"/>
          <w:bCs w:val="false"/>
          <w:color w:val="auto"/>
          <w:kern w:val="0"/>
          <w:sz w:val="20"/>
          <w:szCs w:val="20"/>
          <w:lang w:val="pt-BR" w:eastAsia="zh-CN" w:bidi="ar-SA"/>
        </w:rPr>
        <w:t xml:space="preserve"> </w:t>
      </w:r>
    </w:p>
    <w:p>
      <w:pPr>
        <w:pStyle w:val="Normal"/>
        <w:spacing w:lineRule="auto" w:line="240" w:before="0" w:after="0"/>
        <w:jc w:val="both"/>
        <w:rPr>
          <w:rFonts w:ascii="Verdana" w:hAnsi="Verdana"/>
          <w:sz w:val="20"/>
          <w:szCs w:val="20"/>
        </w:rPr>
      </w:pPr>
      <w:r>
        <w:rPr>
          <w:rFonts w:cs="Arial" w:ascii="Verdana" w:hAnsi="Verdana"/>
          <w:b w:val="false"/>
          <w:bCs w:val="false"/>
          <w:sz w:val="20"/>
          <w:szCs w:val="20"/>
        </w:rPr>
        <w:t xml:space="preserve">Responsável: Secretaria Municipal de </w:t>
      </w:r>
      <w:r>
        <w:rPr>
          <w:rFonts w:eastAsia="Times New Roman" w:cs="Arial" w:ascii="Verdana" w:hAnsi="Verdana"/>
          <w:b w:val="false"/>
          <w:bCs w:val="false"/>
          <w:color w:val="auto"/>
          <w:kern w:val="0"/>
          <w:sz w:val="20"/>
          <w:szCs w:val="20"/>
          <w:lang w:val="pt-BR" w:eastAsia="zh-CN" w:bidi="ar-SA"/>
        </w:rPr>
        <w:t>Assistência, Desenvolvimento Social e Família</w:t>
      </w:r>
      <w:r>
        <w:rPr>
          <w:rFonts w:cs="Arial" w:ascii="Verdana" w:hAnsi="Verdana"/>
          <w:b w:val="false"/>
          <w:bCs w:val="false"/>
          <w:sz w:val="20"/>
          <w:szCs w:val="20"/>
        </w:rPr>
        <w:t xml:space="preserve"> </w:t>
      </w:r>
    </w:p>
    <w:p>
      <w:pPr>
        <w:pStyle w:val="Normal"/>
        <w:tabs>
          <w:tab w:val="clear" w:pos="708"/>
          <w:tab w:val="left" w:pos="508" w:leader="none"/>
        </w:tabs>
        <w:spacing w:lineRule="auto" w:line="240"/>
        <w:ind w:hanging="0" w:left="0" w:right="0"/>
        <w:jc w:val="both"/>
        <w:rPr>
          <w:rFonts w:ascii="Verdana" w:hAnsi="Verdana"/>
          <w:sz w:val="20"/>
          <w:szCs w:val="20"/>
        </w:rPr>
      </w:pPr>
      <w:r>
        <w:rPr>
          <w:rFonts w:cs="Times New Roman" w:ascii="Verdana" w:hAnsi="Verdana"/>
          <w:b w:val="false"/>
          <w:bCs w:val="false"/>
          <w:iCs/>
          <w:sz w:val="20"/>
          <w:szCs w:val="20"/>
        </w:rPr>
        <w:t>14.4</w:t>
      </w:r>
      <w:r>
        <w:rPr>
          <w:rFonts w:cs="Times New Roman" w:ascii="Verdana" w:hAnsi="Verdana"/>
          <w:b/>
          <w:bCs/>
          <w:iCs/>
          <w:sz w:val="20"/>
          <w:szCs w:val="20"/>
        </w:rPr>
        <w:t xml:space="preserve">. </w:t>
      </w:r>
      <w:r>
        <w:rPr>
          <w:rFonts w:cs="Times New Roman" w:ascii="Verdana" w:hAnsi="Verdana"/>
          <w:bCs/>
          <w:iCs/>
          <w:sz w:val="20"/>
          <w:szCs w:val="20"/>
        </w:rPr>
        <w:t xml:space="preserve">Caso não seja possível a entrega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sz w:val="20"/>
          <w:szCs w:val="20"/>
        </w:rPr>
        <w:t>força</w:t>
      </w:r>
      <w:r>
        <w:rPr>
          <w:rFonts w:cs="Times New Roman" w:ascii="Verdana" w:hAnsi="Verdana"/>
          <w:bCs/>
          <w:iCs/>
          <w:sz w:val="20"/>
          <w:szCs w:val="20"/>
        </w:rPr>
        <w:t xml:space="preserve"> maior.</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14.5.</w:t>
      </w:r>
      <w:r>
        <w:rPr>
          <w:rFonts w:cs="Times New Roman" w:ascii="Verdana" w:hAnsi="Verdana"/>
          <w:bCs/>
          <w:color w:val="auto"/>
          <w:sz w:val="20"/>
          <w:szCs w:val="20"/>
        </w:rPr>
        <w:t xml:space="preserve"> A entrega será acompanhado e fiscalizado por funcionário da secretaria requisitante, para efeito de posterior verificação de sua conformidade com as especificações constantes neste Termo de Referência e na proposta.</w:t>
      </w:r>
    </w:p>
    <w:p>
      <w:pPr>
        <w:pStyle w:val="Nivel2"/>
        <w:numPr>
          <w:ilvl w:val="0"/>
          <w:numId w:val="0"/>
        </w:numPr>
        <w:spacing w:lineRule="auto" w:line="240" w:before="0" w:after="0"/>
        <w:ind w:hanging="0" w:left="0" w:right="0"/>
        <w:rPr>
          <w:rFonts w:ascii="Verdana" w:hAnsi="Verdana"/>
          <w:sz w:val="20"/>
          <w:szCs w:val="20"/>
        </w:rPr>
      </w:pPr>
      <w:r>
        <w:rPr>
          <w:rFonts w:cs="Times New Roman" w:ascii="Verdana" w:hAnsi="Verdana"/>
          <w:b w:val="false"/>
          <w:bCs w:val="false"/>
          <w:color w:val="auto"/>
          <w:sz w:val="20"/>
          <w:szCs w:val="20"/>
        </w:rPr>
        <w:t>14.6.</w:t>
      </w:r>
      <w:r>
        <w:rPr>
          <w:rFonts w:cs="Times New Roman" w:ascii="Verdana" w:hAnsi="Verdana"/>
          <w:bCs/>
          <w:color w:val="auto"/>
          <w:sz w:val="20"/>
          <w:szCs w:val="20"/>
        </w:rPr>
        <w:t xml:space="preserve"> Os objetos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spacing w:lineRule="auto" w:line="240"/>
        <w:ind w:hanging="0" w:left="0" w:right="0"/>
        <w:jc w:val="both"/>
        <w:rPr>
          <w:rFonts w:ascii="Verdana" w:hAnsi="Verdana"/>
          <w:sz w:val="20"/>
          <w:szCs w:val="20"/>
        </w:rPr>
      </w:pPr>
      <w:r>
        <w:rPr>
          <w:rFonts w:ascii="Verdana" w:hAnsi="Verdana"/>
          <w:b w:val="false"/>
          <w:bCs w:val="false"/>
          <w:sz w:val="20"/>
          <w:szCs w:val="20"/>
        </w:rPr>
        <w:t>14.7.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ListParagraph"/>
        <w:tabs>
          <w:tab w:val="clear" w:pos="708"/>
          <w:tab w:val="left" w:pos="0" w:leader="none"/>
          <w:tab w:val="left" w:pos="450" w:leader="none"/>
        </w:tabs>
        <w:spacing w:lineRule="auto" w:line="240"/>
        <w:ind w:hanging="0" w:left="-57"/>
        <w:jc w:val="both"/>
        <w:rPr>
          <w:rFonts w:ascii="Verdana" w:hAnsi="Verdana"/>
          <w:sz w:val="20"/>
          <w:szCs w:val="20"/>
        </w:rPr>
      </w:pPr>
      <w:r>
        <w:rPr>
          <w:rFonts w:eastAsia="Times New Roman" w:cs="Times New Roman" w:ascii="Verdana" w:hAnsi="Verdana"/>
          <w:b w:val="false"/>
          <w:bCs w:val="false"/>
          <w:iCs/>
          <w:color w:val="auto"/>
          <w:sz w:val="20"/>
          <w:szCs w:val="20"/>
          <w:lang w:eastAsia="pt-BR"/>
        </w:rPr>
        <w:t>14.8. No caso de recusa da entrega pelo fornecedor, a Administração Pública adotará as providências cabíveis, de cordo com a legislação aplicável, visando sanar problemas por ventura ocorridos.</w:t>
      </w:r>
    </w:p>
    <w:p>
      <w:pPr>
        <w:pStyle w:val="ListParagraph"/>
        <w:tabs>
          <w:tab w:val="clear" w:pos="708"/>
          <w:tab w:val="left" w:pos="0" w:leader="none"/>
          <w:tab w:val="left" w:pos="450" w:leader="none"/>
        </w:tabs>
        <w:spacing w:lineRule="auto" w:line="240" w:before="0" w:after="0"/>
        <w:ind w:hanging="0" w:left="-57"/>
        <w:contextualSpacing/>
        <w:jc w:val="both"/>
        <w:rPr>
          <w:rFonts w:eastAsia="Times New Roman" w:cs="Times New Roman"/>
          <w:b w:val="false"/>
          <w:bCs w:val="false"/>
          <w:iCs/>
          <w:color w:val="auto"/>
          <w:lang w:eastAsia="pt-BR"/>
        </w:rPr>
      </w:pPr>
      <w:r>
        <w:rPr>
          <w:rFonts w:eastAsia="Times New Roman" w:cs="Times New Roman"/>
          <w:b w:val="false"/>
          <w:bCs w:val="false"/>
          <w:iCs/>
          <w:color w:val="auto"/>
          <w:lang w:eastAsia="pt-BR"/>
        </w:rPr>
      </w:r>
    </w:p>
    <w:p>
      <w:pPr>
        <w:pStyle w:val="ListParagraph"/>
        <w:tabs>
          <w:tab w:val="clear" w:pos="708"/>
          <w:tab w:val="left" w:pos="850" w:leader="none"/>
        </w:tabs>
        <w:spacing w:lineRule="auto" w:line="240" w:before="0" w:after="0"/>
        <w:ind w:hanging="0" w:left="720" w:right="57"/>
        <w:contextualSpacing w:val="false"/>
        <w:jc w:val="both"/>
        <w:rPr>
          <w:rFonts w:ascii="Verdana" w:hAnsi="Verdana"/>
          <w:sz w:val="20"/>
          <w:szCs w:val="20"/>
        </w:rPr>
      </w:pPr>
      <w:r>
        <w:rPr>
          <w:rFonts w:ascii="Verdana" w:hAnsi="Verdana"/>
          <w:b/>
          <w:bCs/>
          <w:sz w:val="20"/>
          <w:szCs w:val="20"/>
        </w:rPr>
        <w:t xml:space="preserve">15. </w:t>
      </w:r>
      <w:r>
        <w:rPr>
          <w:rFonts w:cs="Times New Roman" w:ascii="Verdana" w:hAnsi="Verdana"/>
          <w:b/>
          <w:bCs/>
          <w:sz w:val="20"/>
          <w:szCs w:val="20"/>
        </w:rPr>
        <w:t xml:space="preserve">MODELO DE GESTÃO DO CONTRATO </w:t>
      </w:r>
    </w:p>
    <w:p>
      <w:pPr>
        <w:pStyle w:val="Normal"/>
        <w:spacing w:lineRule="auto" w:line="240"/>
        <w:jc w:val="both"/>
        <w:rPr>
          <w:rFonts w:ascii="Verdana" w:hAnsi="Verdana"/>
          <w:sz w:val="20"/>
          <w:szCs w:val="20"/>
        </w:rPr>
      </w:pPr>
      <w:r>
        <w:rPr>
          <w:rFonts w:ascii="Verdana" w:hAnsi="Verdana"/>
          <w:sz w:val="20"/>
          <w:szCs w:val="20"/>
        </w:rPr>
        <w:t>15.1. ROTINAS DE FISCALIZAÇÃO CONTRATUAL</w:t>
      </w:r>
    </w:p>
    <w:p>
      <w:pPr>
        <w:pStyle w:val="Nivel2"/>
        <w:numPr>
          <w:ilvl w:val="0"/>
          <w:numId w:val="0"/>
        </w:numPr>
        <w:spacing w:lineRule="auto" w:line="240" w:before="0" w:after="0"/>
        <w:ind w:hanging="0" w:left="0"/>
        <w:rPr>
          <w:rFonts w:ascii="Verdana" w:hAnsi="Verdana"/>
          <w:sz w:val="20"/>
          <w:szCs w:val="20"/>
        </w:rPr>
      </w:pPr>
      <w:r>
        <w:rPr>
          <w:rFonts w:ascii="Verdana" w:hAnsi="Verdana"/>
          <w:sz w:val="20"/>
          <w:szCs w:val="20"/>
        </w:rPr>
        <w:t>15.1.1. O contrato será substituído pela nota de empenho e autorização de fornecimento/execução.</w:t>
      </w:r>
    </w:p>
    <w:p>
      <w:pPr>
        <w:pStyle w:val="Normal"/>
        <w:spacing w:lineRule="auto" w:line="240"/>
        <w:jc w:val="both"/>
        <w:rPr>
          <w:rFonts w:ascii="Verdana" w:hAnsi="Verdana"/>
          <w:sz w:val="20"/>
          <w:szCs w:val="20"/>
        </w:rPr>
      </w:pPr>
      <w:r>
        <w:rPr>
          <w:rFonts w:ascii="Verdana" w:hAnsi="Verdana"/>
          <w:sz w:val="20"/>
          <w:szCs w:val="20"/>
        </w:rPr>
        <w:t xml:space="preserve">15.1.2. A entrega </w:t>
      </w:r>
      <w:r>
        <w:rPr>
          <w:rFonts w:eastAsia="Times New Roman" w:cs="Times New Roman" w:ascii="Verdana" w:hAnsi="Verdana"/>
          <w:sz w:val="20"/>
          <w:szCs w:val="20"/>
        </w:rPr>
        <w:t>do item</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ormal"/>
        <w:spacing w:lineRule="auto" w:line="240"/>
        <w:jc w:val="both"/>
        <w:rPr>
          <w:rFonts w:ascii="Verdana" w:hAnsi="Verdana"/>
          <w:sz w:val="20"/>
          <w:szCs w:val="20"/>
        </w:rPr>
      </w:pPr>
      <w:r>
        <w:rPr>
          <w:rFonts w:ascii="Verdana" w:hAnsi="Verdana"/>
          <w:sz w:val="20"/>
          <w:szCs w:val="20"/>
        </w:rPr>
        <w:t>15.1.3. O contratado será obrigado a reparar, corrigir, remover, reconstruir ou substituir, a suas expensas, no total ou em parte, o objeto da aquisição em que se verificarem vícios, defeitos ou incorreções resultantes de sua execução ou de materiais nela empregados.</w:t>
      </w:r>
    </w:p>
    <w:p>
      <w:pPr>
        <w:pStyle w:val="Normal"/>
        <w:spacing w:lineRule="auto" w:line="240"/>
        <w:jc w:val="both"/>
        <w:rPr>
          <w:rFonts w:ascii="Verdana" w:hAnsi="Verdana"/>
          <w:sz w:val="20"/>
          <w:szCs w:val="20"/>
        </w:rPr>
      </w:pPr>
      <w:r>
        <w:rPr>
          <w:rFonts w:ascii="Verdana" w:hAnsi="Verdana"/>
          <w:sz w:val="20"/>
          <w:szCs w:val="20"/>
        </w:rPr>
        <w:t>15.1.4. Somente o contratado será responsável pelos encargos trabalhistas, previdenciários, fiscais e comerciais resultantes da execução dos serviços.</w:t>
      </w:r>
    </w:p>
    <w:p>
      <w:pPr>
        <w:pStyle w:val="Normal"/>
        <w:spacing w:lineRule="auto" w:line="240"/>
        <w:jc w:val="both"/>
        <w:rPr>
          <w:rFonts w:ascii="Verdana" w:hAnsi="Verdana"/>
          <w:sz w:val="20"/>
          <w:szCs w:val="20"/>
        </w:rPr>
      </w:pPr>
      <w:r>
        <w:rPr>
          <w:rFonts w:ascii="Verdana" w:hAnsi="Verdana"/>
          <w:sz w:val="20"/>
          <w:szCs w:val="20"/>
        </w:rPr>
        <w:t>15.1.5. A inadimplência do contratado em relação aos encargos trabalhistas, fiscais e comerciais não transferirá à Administração a responsabilidade pelo seu pagamento e não poderá onerar o objeto do contrato.</w:t>
      </w:r>
    </w:p>
    <w:p>
      <w:pPr>
        <w:pStyle w:val="ListParagraph"/>
        <w:tabs>
          <w:tab w:val="clear" w:pos="708"/>
          <w:tab w:val="left" w:pos="850" w:leader="none"/>
        </w:tabs>
        <w:spacing w:lineRule="auto" w:line="240" w:before="0" w:after="0"/>
        <w:ind w:hanging="0" w:left="57" w:right="57"/>
        <w:contextualSpacing w:val="false"/>
        <w:jc w:val="both"/>
        <w:rPr>
          <w:rFonts w:ascii="Verdana" w:hAnsi="Verdana"/>
          <w:sz w:val="20"/>
          <w:szCs w:val="20"/>
        </w:rPr>
      </w:pPr>
      <w:r>
        <w:rPr>
          <w:rFonts w:cs="Times New Roman" w:ascii="Verdana" w:hAnsi="Verdana"/>
          <w:sz w:val="20"/>
          <w:szCs w:val="20"/>
        </w:rPr>
        <w:t>15.1.6.</w:t>
      </w:r>
      <w:r>
        <w:rPr>
          <w:rFonts w:cs="Times New Roman" w:ascii="Verdana" w:hAnsi="Verdana"/>
          <w:bCs/>
          <w:sz w:val="20"/>
          <w:szCs w:val="20"/>
        </w:rPr>
        <w:t xml:space="preserve">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pPr>
        <w:pStyle w:val="ListParagraph"/>
        <w:tabs>
          <w:tab w:val="clear" w:pos="708"/>
          <w:tab w:val="left" w:pos="850" w:leader="none"/>
        </w:tabs>
        <w:spacing w:lineRule="auto" w:line="240" w:before="0" w:after="0"/>
        <w:ind w:hanging="0" w:left="57" w:right="57"/>
        <w:contextualSpacing w:val="false"/>
        <w:jc w:val="both"/>
        <w:rPr>
          <w:rFonts w:ascii="Verdana" w:hAnsi="Verdana"/>
          <w:bCs/>
          <w:sz w:val="20"/>
          <w:szCs w:val="20"/>
        </w:rPr>
      </w:pPr>
      <w:r>
        <w:rPr>
          <w:rFonts w:ascii="Verdana" w:hAnsi="Verdana"/>
          <w:bCs/>
          <w:sz w:val="20"/>
          <w:szCs w:val="20"/>
        </w:rPr>
      </w:r>
    </w:p>
    <w:p>
      <w:pPr>
        <w:pStyle w:val="Nivel01"/>
        <w:spacing w:lineRule="auto" w:line="240" w:before="0" w:after="0"/>
        <w:rPr>
          <w:rFonts w:ascii="Verdana" w:hAnsi="Verdana"/>
          <w:sz w:val="20"/>
          <w:szCs w:val="20"/>
        </w:rPr>
      </w:pPr>
      <w:r>
        <w:rPr>
          <w:rFonts w:cs="Arial" w:ascii="Verdana" w:hAnsi="Verdana"/>
          <w:sz w:val="20"/>
          <w:szCs w:val="20"/>
        </w:rPr>
        <w:t>16. DO REAJUSTAMENTO EM SENTIDO GERAL</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17. DA ACEITAÇÃO DO OBJETO E DA FISCALIZAÇÃO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 xml:space="preserve">Recebida a Nota Fiscal ou documento de cobrança equivalente, correrá o prazo de </w:t>
      </w:r>
      <w:r>
        <w:rPr>
          <w:rFonts w:eastAsia="Times New Roman" w:cs="Times New Roman" w:ascii="Verdana" w:hAnsi="Verdana"/>
          <w:color w:val="000000"/>
          <w:sz w:val="20"/>
          <w:szCs w:val="20"/>
          <w:lang w:eastAsia="en-US"/>
        </w:rPr>
        <w:t>(30) trinta</w:t>
      </w:r>
      <w:r>
        <w:rPr>
          <w:rFonts w:cs="Arial" w:ascii="Verdana" w:hAnsi="Verdana"/>
          <w:color w:val="000000"/>
          <w:sz w:val="20"/>
          <w:szCs w:val="20"/>
          <w:lang w:eastAsia="en-US"/>
        </w:rPr>
        <w:t xml:space="preserve"> dias para fins de liquidação, na forma desta seção, prorrogáveis por igual período.</w:t>
      </w:r>
    </w:p>
    <w:p>
      <w:pPr>
        <w:pStyle w:val="Normal"/>
        <w:spacing w:lineRule="auto" w:line="240"/>
        <w:ind w:hanging="0" w:left="-22"/>
        <w:jc w:val="both"/>
        <w:rPr/>
      </w:pPr>
      <w:r>
        <w:rPr>
          <w:rFonts w:ascii="Verdana" w:hAnsi="Verdana"/>
          <w:sz w:val="20"/>
          <w:szCs w:val="20"/>
        </w:rPr>
        <w:t xml:space="preserve">19.2.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297"/>
          <w:sz w:val="20"/>
          <w:szCs w:val="20"/>
          <w:rFonts w:ascii="Verdana" w:hAnsi="Verdana"/>
          <w:color w:val="000000"/>
        </w:rPr>
        <w:instrText xml:space="preserve"> HYPERLINK "http://www.planalto.gov.br/ccivil_03/_ato2019-2022/2021/lei/L14133.htm" \l "art75"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 xml:space="preserve">inciso II do art. 75 da Lei nº 14.133, de </w:t>
      </w:r>
      <w:r>
        <w:rPr>
          <w:rStyle w:val="ListLabel297"/>
          <w:sz w:val="20"/>
          <w:szCs w:val="20"/>
          <w:rFonts w:ascii="Verdana" w:hAnsi="Verdana"/>
          <w:color w:val="000000"/>
        </w:rPr>
        <w:fldChar w:fldCharType="end"/>
      </w:r>
      <w:r>
        <w:rPr>
          <w:rFonts w:ascii="Verdana" w:hAnsi="Verdana"/>
          <w:color w:val="000000"/>
          <w:sz w:val="20"/>
          <w:szCs w:val="20"/>
        </w:rPr>
        <w:t>2021.</w:t>
      </w:r>
    </w:p>
    <w:p>
      <w:pPr>
        <w:pStyle w:val="Normal"/>
        <w:spacing w:lineRule="auto" w:line="240"/>
        <w:ind w:hanging="0" w:left="-22"/>
        <w:jc w:val="both"/>
        <w:rPr>
          <w:rFonts w:ascii="Verdana" w:hAnsi="Verdana"/>
          <w:sz w:val="20"/>
          <w:szCs w:val="20"/>
        </w:rPr>
      </w:pPr>
      <w:r>
        <w:rPr>
          <w:rFonts w:ascii="Verdana" w:hAnsi="Verdana"/>
          <w:sz w:val="20"/>
          <w:szCs w:val="20"/>
        </w:rPr>
        <w:t xml:space="preserve">19.3.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O prazo de validade;</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A data da emissão;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Os dados do contrato e do órgão contratante;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 período respectivo de execução do contrato;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xml:space="preserve">- O valor a pagar; e </w:t>
      </w:r>
    </w:p>
    <w:p>
      <w:pPr>
        <w:pStyle w:val="Normal"/>
        <w:tabs>
          <w:tab w:val="clear" w:pos="708"/>
          <w:tab w:val="left" w:pos="563" w:leader="none"/>
        </w:tabs>
        <w:spacing w:lineRule="auto" w:line="240"/>
        <w:ind w:hanging="0" w:left="432"/>
        <w:jc w:val="both"/>
        <w:rPr>
          <w:rFonts w:ascii="Verdana" w:hAnsi="Verdana"/>
          <w:sz w:val="20"/>
          <w:szCs w:val="20"/>
        </w:rPr>
      </w:pPr>
      <w:r>
        <w:rPr>
          <w:rFonts w:ascii="Verdana" w:hAnsi="Verdana"/>
          <w:sz w:val="20"/>
          <w:szCs w:val="20"/>
        </w:rPr>
        <w:t>- Eventual destaque do valor de retenções tributárias cabíveis.</w:t>
      </w:r>
    </w:p>
    <w:p>
      <w:pPr>
        <w:pStyle w:val="Normal"/>
        <w:tabs>
          <w:tab w:val="clear" w:pos="708"/>
          <w:tab w:val="left" w:pos="563" w:leader="none"/>
        </w:tabs>
        <w:spacing w:lineRule="auto" w:line="240"/>
        <w:ind w:hanging="0" w:left="-22"/>
        <w:jc w:val="both"/>
        <w:rPr>
          <w:rFonts w:ascii="Verdana" w:hAnsi="Verdana"/>
          <w:sz w:val="20"/>
          <w:szCs w:val="20"/>
        </w:rPr>
      </w:pPr>
      <w:r>
        <w:rPr>
          <w:rFonts w:ascii="Verdana" w:hAnsi="Verdana"/>
          <w:sz w:val="20"/>
          <w:szCs w:val="20"/>
        </w:rPr>
        <w:t>19.4.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hanging="0" w:left="-22"/>
        <w:jc w:val="both"/>
        <w:rPr/>
      </w:pPr>
      <w:r>
        <w:rPr>
          <w:rFonts w:ascii="Verdana" w:hAnsi="Verdana"/>
          <w:sz w:val="20"/>
          <w:szCs w:val="20"/>
        </w:rPr>
        <w:t>19.5.</w:t>
      </w:r>
      <w:r>
        <w:rPr>
          <w:rFonts w:ascii="Verdana" w:hAnsi="Verdana"/>
          <w:b/>
          <w:bCs/>
          <w:sz w:val="20"/>
          <w:szCs w:val="20"/>
        </w:rPr>
        <w:t xml:space="preserve"> </w:t>
      </w:r>
      <w:r>
        <w:rPr>
          <w:rFonts w:ascii="Verdana" w:hAnsi="Verdana"/>
          <w:sz w:val="20"/>
          <w:szCs w:val="20"/>
        </w:rPr>
        <w:t>A</w:t>
      </w:r>
      <w:r>
        <w:rPr>
          <w:rFonts w:ascii="Verdana" w:hAnsi="Verdana"/>
          <w:sz w:val="20"/>
          <w:szCs w:val="20"/>
          <w:lang w:eastAsia="en-US"/>
        </w:rPr>
        <w:t xml:space="preserve"> nota fiscal ou instrumento de cobrança equivalente deverá ser obrigatoriamente acompanhado da comprovação da regularidade fiscal</w:t>
      </w:r>
      <w:r>
        <w:rPr>
          <w:rStyle w:val="InternetLink1"/>
          <w:rFonts w:ascii="Verdana" w:hAnsi="Verdana"/>
          <w:sz w:val="20"/>
          <w:szCs w:val="20"/>
          <w:lang w:eastAsia="en-US"/>
        </w:rPr>
        <w:t>.</w:t>
      </w:r>
    </w:p>
    <w:p>
      <w:pPr>
        <w:pStyle w:val="Normal"/>
        <w:spacing w:lineRule="auto" w:line="240"/>
        <w:ind w:hanging="0" w:left="-22"/>
        <w:jc w:val="both"/>
        <w:rPr>
          <w:rFonts w:ascii="Verdana" w:hAnsi="Verdana"/>
          <w:sz w:val="20"/>
          <w:szCs w:val="20"/>
        </w:rPr>
      </w:pPr>
      <w:r>
        <w:rPr>
          <w:rFonts w:ascii="Verdana" w:hAnsi="Verdana"/>
          <w:sz w:val="20"/>
          <w:szCs w:val="20"/>
        </w:rPr>
        <w:t>19.6. O pagamento será efetuado no prazo de até 30 (trinta) dias úteis contados da finalização da liquidação da despesa.</w:t>
      </w:r>
    </w:p>
    <w:p>
      <w:pPr>
        <w:pStyle w:val="Normal"/>
        <w:spacing w:lineRule="auto" w:line="240"/>
        <w:ind w:hanging="0" w:left="-22"/>
        <w:jc w:val="both"/>
        <w:rPr>
          <w:rFonts w:ascii="Verdana" w:hAnsi="Verdana"/>
          <w:sz w:val="20"/>
          <w:szCs w:val="20"/>
        </w:rPr>
      </w:pPr>
      <w:r>
        <w:rPr>
          <w:rFonts w:ascii="Verdana" w:hAnsi="Verdana"/>
          <w:sz w:val="20"/>
          <w:szCs w:val="20"/>
        </w:rPr>
        <w:t>19.7.</w:t>
      </w:r>
      <w:r>
        <w:rPr>
          <w:rFonts w:ascii="Verdana" w:hAnsi="Verdana"/>
          <w:b/>
          <w:bCs/>
          <w:sz w:val="20"/>
          <w:szCs w:val="20"/>
        </w:rPr>
        <w:t xml:space="preserve"> </w:t>
      </w:r>
      <w:r>
        <w:rPr>
          <w:rFonts w:ascii="Verdana" w:hAnsi="Verdana"/>
          <w:sz w:val="20"/>
          <w:szCs w:val="20"/>
        </w:rPr>
        <w:t>O pagamento será realizado por meio de ordem bancária, para crédito em banco, agência e conta corrente indicados pelo contratado.</w:t>
      </w:r>
    </w:p>
    <w:p>
      <w:pPr>
        <w:pStyle w:val="Normal"/>
        <w:spacing w:lineRule="auto" w:line="240"/>
        <w:ind w:hanging="0" w:left="-22"/>
        <w:jc w:val="both"/>
        <w:rPr>
          <w:rFonts w:ascii="Verdana" w:hAnsi="Verdana"/>
          <w:sz w:val="20"/>
          <w:szCs w:val="20"/>
        </w:rPr>
      </w:pPr>
      <w:r>
        <w:rPr>
          <w:rFonts w:ascii="Verdana" w:hAnsi="Verdana"/>
          <w:sz w:val="20"/>
          <w:szCs w:val="20"/>
        </w:rPr>
        <w:t>19.8. Será considerada data do pagamento o dia em que constar como emitida a ordem bancária para pagamento.</w:t>
      </w:r>
    </w:p>
    <w:p>
      <w:pPr>
        <w:pStyle w:val="Normal"/>
        <w:spacing w:lineRule="auto" w:line="240"/>
        <w:ind w:hanging="0" w:left="-79"/>
        <w:jc w:val="both"/>
        <w:rPr>
          <w:rFonts w:ascii="Verdana" w:hAnsi="Verdana"/>
          <w:sz w:val="20"/>
          <w:szCs w:val="20"/>
        </w:rPr>
      </w:pPr>
      <w:r>
        <w:rPr>
          <w:rFonts w:ascii="Verdana" w:hAnsi="Verdana"/>
          <w:sz w:val="20"/>
          <w:szCs w:val="20"/>
        </w:rPr>
        <w:t>19.9.</w:t>
      </w:r>
      <w:r>
        <w:rPr>
          <w:rFonts w:ascii="Verdana" w:hAnsi="Verdana"/>
          <w:b/>
          <w:bCs/>
          <w:sz w:val="20"/>
          <w:szCs w:val="20"/>
        </w:rPr>
        <w:t xml:space="preserve"> </w:t>
      </w:r>
      <w:r>
        <w:rPr>
          <w:rFonts w:ascii="Verdana" w:hAnsi="Verdana"/>
          <w:sz w:val="20"/>
          <w:szCs w:val="20"/>
        </w:rPr>
        <w:t>Quando do pagamento, será efetuada a retenção tributária prevista na legislação aplicável.</w:t>
      </w:r>
    </w:p>
    <w:p>
      <w:pPr>
        <w:pStyle w:val="Normal"/>
        <w:tabs>
          <w:tab w:val="clear" w:pos="708"/>
          <w:tab w:val="left" w:pos="563" w:leader="none"/>
        </w:tabs>
        <w:spacing w:lineRule="auto" w:line="240"/>
        <w:jc w:val="both"/>
        <w:rPr/>
      </w:pPr>
      <w:r>
        <w:rPr>
          <w:rFonts w:ascii="Verdana" w:hAnsi="Verdana"/>
          <w:sz w:val="20"/>
          <w:szCs w:val="20"/>
          <w:lang w:eastAsia="en-US"/>
        </w:rPr>
        <w:t xml:space="preserve">19.10. O contratado regularmente optante pelo Simples Nacional, nos termos da </w:t>
      </w:r>
      <w:hyperlink r:id="rId10">
        <w:r>
          <w:rPr>
            <w:rStyle w:val="ListLabel298"/>
            <w:rFonts w:ascii="Verdana" w:hAnsi="Verdana"/>
            <w:sz w:val="20"/>
            <w:szCs w:val="20"/>
            <w:lang w:eastAsia="en-US"/>
          </w:rPr>
          <w:t>Lei Complementar nº 123, de 2006</w:t>
        </w:r>
      </w:hyperlink>
      <w:r>
        <w:rPr>
          <w:rFonts w:ascii="Verdana" w:hAnsi="Verdana"/>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19.11.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20. DAS SANÇÕES ADMINISTRATIVAS.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40"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40"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40"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57" w:after="57"/>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40"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297"/>
          <w:sz w:val="20"/>
          <w:szCs w:val="20"/>
          <w:rFonts w:ascii="Verdana" w:hAnsi="Verdana"/>
          <w:color w:val="000000"/>
        </w:rPr>
        <w:instrText xml:space="preserve"> HYPERLINK "https://www.planalto.gov.br/ccivil_03/_ato2011-2014/2013/lei/l12846.htm" \l "art5"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art. 5º da Lei n.º 12.846, de 2013</w:t>
      </w:r>
      <w:r>
        <w:rPr>
          <w:rStyle w:val="ListLabel29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20.4.1 </w:t>
      </w:r>
      <w:bookmarkStart w:id="20" w:name="_Hlk113876035_Copia_1"/>
      <w:bookmarkStart w:id="21" w:name="_Hlk113876035"/>
      <w:r>
        <w:rPr>
          <w:rFonts w:ascii="Verdana" w:hAnsi="Verdana"/>
          <w:sz w:val="20"/>
          <w:szCs w:val="20"/>
        </w:rPr>
        <w:t>Para as infrações previstas nos itens 20.1.1, 20.1.2 e 20.1.3, a multa será de 5% do valor do contrato licitado.</w:t>
      </w:r>
      <w:bookmarkEnd w:id="20"/>
      <w:bookmarkEnd w:id="21"/>
    </w:p>
    <w:p>
      <w:pPr>
        <w:pStyle w:val="Nivel2"/>
        <w:numPr>
          <w:ilvl w:val="0"/>
          <w:numId w:val="0"/>
        </w:numPr>
        <w:spacing w:lineRule="auto" w:line="240"/>
        <w:ind w:hanging="0" w:lef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sz w:val="20"/>
          <w:szCs w:val="20"/>
          <w:rFonts w:ascii="Verdana" w:hAnsi="Verdana"/>
          <w:color w:val="000000"/>
        </w:rPr>
        <w:instrText xml:space="preserve"> HYPERLINK "http://www.planalto.gov.br/ccivil_03/_ato2019-2022/2021/lei/L14133.htm" \l "art156%C2%A75"</w:instrText>
      </w:r>
      <w:r>
        <w:rPr>
          <w:rStyle w:val="ListLabel297"/>
          <w:sz w:val="20"/>
          <w:szCs w:val="20"/>
          <w:rFonts w:ascii="Verdana" w:hAnsi="Verdana"/>
          <w:color w:val="000000"/>
        </w:rPr>
        <w:fldChar w:fldCharType="separate"/>
      </w:r>
      <w:r>
        <w:rPr>
          <w:rStyle w:val="ListLabel297"/>
          <w:rFonts w:ascii="Verdana" w:hAnsi="Verdana"/>
          <w:color w:val="000000"/>
          <w:sz w:val="20"/>
          <w:szCs w:val="20"/>
        </w:rPr>
        <w:t>art. 156, §5º, da Lei n.º 14.133/2021</w:t>
      </w:r>
      <w:r>
        <w:rPr>
          <w:rStyle w:val="ListLabel297"/>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1">
        <w:r>
          <w:rPr>
            <w:rStyle w:val="ListLabel297"/>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2">
        <w:r>
          <w:rPr>
            <w:rStyle w:val="ListLabel299"/>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57" w:after="57"/>
        <w:rPr>
          <w:rFonts w:ascii="Verdana" w:hAnsi="Verdana"/>
          <w:sz w:val="20"/>
          <w:szCs w:val="20"/>
        </w:rPr>
      </w:pPr>
      <w:r>
        <w:rPr>
          <w:rFonts w:cs="Arial" w:ascii="Verdana" w:hAnsi="Verdana"/>
          <w:sz w:val="20"/>
          <w:szCs w:val="20"/>
        </w:rPr>
        <w:t>22. DAS DISPOSIÇÕES GERAIS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3">
        <w:r>
          <w:rPr>
            <w:rStyle w:val="ListLabel294"/>
            <w:rFonts w:ascii="Verdana" w:hAnsi="Verdana"/>
            <w:color w:val="000080"/>
            <w:sz w:val="20"/>
            <w:szCs w:val="20"/>
            <w:u w:val="single"/>
          </w:rPr>
          <w:t>licitacao@</w:t>
        </w:r>
      </w:hyperlink>
      <w:hyperlink r:id="rId14">
        <w:r>
          <w:rPr>
            <w:rStyle w:val="ListLabel294"/>
            <w:rFonts w:ascii="Verdana" w:hAnsi="Verdana"/>
            <w:color w:val="000080"/>
            <w:sz w:val="20"/>
            <w:szCs w:val="20"/>
            <w:u w:val="single"/>
          </w:rPr>
          <w:t>saogabriel</w:t>
        </w:r>
      </w:hyperlink>
      <w:hyperlink r:id="rId15">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lineRule="auto" w:line="240"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lineRule="auto" w:line="240" w:before="57" w:after="57"/>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ind w:hanging="0" w:left="360"/>
        <w:jc w:val="center"/>
        <w:outlineLvl w:val="0"/>
        <w:rPr>
          <w:rFonts w:ascii="Verdana" w:hAnsi="Verdana"/>
          <w:sz w:val="20"/>
          <w:szCs w:val="20"/>
        </w:rPr>
      </w:pPr>
      <w:r>
        <w:rPr>
          <w:rFonts w:cs="Arial" w:ascii="Verdana" w:hAnsi="Verdana"/>
          <w:color w:val="000000"/>
          <w:sz w:val="20"/>
          <w:szCs w:val="20"/>
        </w:rPr>
        <w:t>São Gabriel da Palha/ES, 07 de julho de 2025.</w:t>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40" w:before="120" w:after="120"/>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ind w:hanging="0" w:left="0" w:right="113"/>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even" r:id="rId16"/>
      <w:headerReference w:type="default" r:id="rId17"/>
      <w:headerReference w:type="first" r:id="rId18"/>
      <w:footerReference w:type="even" r:id="rId19"/>
      <w:footerReference w:type="default" r:id="rId20"/>
      <w:footerReference w:type="first" r:id="rId21"/>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qFormat/>
    <w:pPr>
      <w:spacing w:lineRule="auto" w:line="276" w:before="0" w:after="200"/>
      <w:ind w:hanging="0" w:left="720"/>
      <w:contextualSpacing/>
    </w:pPr>
    <w:rPr>
      <w:rFonts w:ascii="Calibri" w:hAnsi="Calibri" w:eastAsia="Calibri" w:cs="Calibri"/>
      <w:sz w:val="22"/>
      <w:szCs w:val="22"/>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mailto:assistenciasgp@gmail.com" TargetMode="External"/><Relationship Id="rId10"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yperlink" Target="mailto:licitacao@saogabriel.es.gov.br"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header" Target="header3.xml"/><Relationship Id="rId19" Type="http://schemas.openxmlformats.org/officeDocument/2006/relationships/footer" Target="footer1.xml"/><Relationship Id="rId20" Type="http://schemas.openxmlformats.org/officeDocument/2006/relationships/footer" Target="footer2.xml"/><Relationship Id="rId21" Type="http://schemas.openxmlformats.org/officeDocument/2006/relationships/footer" Target="footer3.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Relationship Id="rId26"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3567</TotalTime>
  <Application>LibreOffice/24.2.6.2$Windows_X86_64 LibreOffice_project/ef66aa7e36a1bb8e65bfbc63aba53045a14d0871</Application>
  <AppVersion>15.0000</AppVersion>
  <Pages>16</Pages>
  <Words>8796</Words>
  <Characters>49981</Characters>
  <CharactersWithSpaces>58372</CharactersWithSpaces>
  <Paragraphs>352</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2025-07-07T14:23:06Z</cp:lastPrinted>
  <dcterms:modified xsi:type="dcterms:W3CDTF">2025-07-30T16:55:58Z</dcterms:modified>
  <cp:revision>176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